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90-Day Commercial Insurance Renewal Workflow: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Day 90 - 81: Initial Planning and Review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Review client's file: Look at their previous coverage, notes, loss runs, claims, updates, or changes that have happened in the last year.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Update client's information: Make sure all contact information is current.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Analyze risk profile: Re-assess the client's business operations, revenue, property, vehicles, equipment, employees, etc. to understand if any changes in coverage are necessary.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Day 80 - 71: Reach Out to Client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Send pre-renewal letter/email: This should inform the client about the upcoming renewal and ask them for any updates in their operations, properties, or other insurable interests.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Schedule a meeting: To discuss the renewal and any potential changes in coverage.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Day 70 - 61: Meeting and Further Review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Conduct a meeting: Discuss updates, changes, and any areas where coverage may need to be adjusted. Also, discuss the client's budget and if they're open to obtaining quotes from other carriers.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24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Post-meeting review: Summarize the key points from the meeting and identify changes needed in the coverage.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Day 60 - 41: Research and Rate Shopping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Approach insurance companies: Update the client's profile and submit applications to suitable insurers to obtain quotes.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24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Analyze insurance quotes: Compare the prices and coverages offered by the different insurance companies.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Day 40 - 31: Proposal Preparation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24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Prepare a proposal: Include current coverage, proposed changes, price comparisons, pros, and cons of each option.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Day 30 - 21: Presentation to Client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spacing w:after="0" w:afterAutospacing="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Present the proposal to the client: Discuss the different options, including pricing and coverage.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spacing w:after="24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Address client questions and concerns: Ensure that they fully understand the proposed changes and new coverages.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Day 20 - 11: Final Decision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24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Receive client's decision: Upon approval, begin the paperwork for the new policy. If the client wants changes, adjust the coverage and get new quotes if necessary.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Day 10 - 1: Paperwork and Final Review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Prepare and send renewal documents: Ensure all documents are filled out correctly and signed.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Final review: Once paperwork is received, review it for accuracy and process the renewal.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Confirm with the client: Send a confirmation email or letter detailing the renewed coverage and premium.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Day 0: Policy Effective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240" w:before="0" w:lineRule="auto"/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Deliver policy documents: Provide the client with a copy of their renewed policy and any relevant documentation.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Workers Compensation Coverage Review Guide: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Client Information:</w:t>
      </w:r>
      <w:r w:rsidDel="00000000" w:rsidR="00000000" w:rsidRPr="00000000">
        <w:rPr>
          <w:sz w:val="22"/>
          <w:szCs w:val="22"/>
          <w:rtl w:val="0"/>
        </w:rPr>
        <w:t xml:space="preserve"> Company name, industry, employee count, and payroll details.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Current Coverage Details:</w:t>
      </w:r>
      <w:r w:rsidDel="00000000" w:rsidR="00000000" w:rsidRPr="00000000">
        <w:rPr>
          <w:sz w:val="22"/>
          <w:szCs w:val="22"/>
          <w:rtl w:val="0"/>
        </w:rPr>
        <w:t xml:space="preserve"> Current carrier, policy number, coverage limits, class codes, experience modification rate (EMR), and premium.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Risk Profile:</w:t>
      </w:r>
      <w:r w:rsidDel="00000000" w:rsidR="00000000" w:rsidRPr="00000000">
        <w:rPr>
          <w:sz w:val="22"/>
          <w:szCs w:val="22"/>
          <w:rtl w:val="0"/>
        </w:rPr>
        <w:t xml:space="preserve"> Analysis of the occupational hazards, safety measures, past claims, and potential risk factors.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Coverage Gap Analysis:</w:t>
      </w:r>
      <w:r w:rsidDel="00000000" w:rsidR="00000000" w:rsidRPr="00000000">
        <w:rPr>
          <w:sz w:val="22"/>
          <w:szCs w:val="22"/>
          <w:rtl w:val="0"/>
        </w:rPr>
        <w:t xml:space="preserve"> Evaluate if all employees are covered, including contract or temporary workers. Also, consider out-of-state or international coverage if necessary.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24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Premium and EMR Comparison:</w:t>
      </w:r>
      <w:r w:rsidDel="00000000" w:rsidR="00000000" w:rsidRPr="00000000">
        <w:rPr>
          <w:sz w:val="22"/>
          <w:szCs w:val="22"/>
          <w:rtl w:val="0"/>
        </w:rPr>
        <w:t xml:space="preserve"> Review how the client's premium and EMR compare with industry averages.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Commercial Property Coverage Review Guide: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Client Information:</w:t>
      </w:r>
      <w:r w:rsidDel="00000000" w:rsidR="00000000" w:rsidRPr="00000000">
        <w:rPr>
          <w:sz w:val="22"/>
          <w:szCs w:val="22"/>
          <w:rtl w:val="0"/>
        </w:rPr>
        <w:t xml:space="preserve"> Company name, industry, property details (location, size, age, construction type, fire protection, etc.)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Current Coverage Details:</w:t>
      </w:r>
      <w:r w:rsidDel="00000000" w:rsidR="00000000" w:rsidRPr="00000000">
        <w:rPr>
          <w:sz w:val="22"/>
          <w:szCs w:val="22"/>
          <w:rtl w:val="0"/>
        </w:rPr>
        <w:t xml:space="preserve"> Current carrier, policy number, coverage limits, deductible, special endorsements or exclusions, and premium.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Risk Profile:</w:t>
      </w:r>
      <w:r w:rsidDel="00000000" w:rsidR="00000000" w:rsidRPr="00000000">
        <w:rPr>
          <w:sz w:val="22"/>
          <w:szCs w:val="22"/>
          <w:rtl w:val="0"/>
        </w:rPr>
        <w:t xml:space="preserve"> Analysis of risks associated with the location (natural disasters, crime rate), business operations, and the building's features.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Coverage Gap Analysis:</w:t>
      </w:r>
      <w:r w:rsidDel="00000000" w:rsidR="00000000" w:rsidRPr="00000000">
        <w:rPr>
          <w:sz w:val="22"/>
          <w:szCs w:val="22"/>
          <w:rtl w:val="0"/>
        </w:rPr>
        <w:t xml:space="preserve"> Evaluate if all structures and contents are covered adequately. Also, check for flood, earthquake or business interruption coverage if necessary.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Premium and Coverage Comparison:</w:t>
      </w:r>
      <w:r w:rsidDel="00000000" w:rsidR="00000000" w:rsidRPr="00000000">
        <w:rPr>
          <w:sz w:val="22"/>
          <w:szCs w:val="22"/>
          <w:rtl w:val="0"/>
        </w:rPr>
        <w:t xml:space="preserve"> Compare the client's premium with similar properties in their industry.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Commercial Auto Coverage Review Guide: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Client Information:</w:t>
      </w:r>
      <w:r w:rsidDel="00000000" w:rsidR="00000000" w:rsidRPr="00000000">
        <w:rPr>
          <w:sz w:val="22"/>
          <w:szCs w:val="22"/>
          <w:rtl w:val="0"/>
        </w:rPr>
        <w:t xml:space="preserve"> Company name, industry, driver and vehicle information.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Current Coverage Details:</w:t>
      </w:r>
      <w:r w:rsidDel="00000000" w:rsidR="00000000" w:rsidRPr="00000000">
        <w:rPr>
          <w:sz w:val="22"/>
          <w:szCs w:val="22"/>
          <w:rtl w:val="0"/>
        </w:rPr>
        <w:t xml:space="preserve"> Current carrier, policy number, coverage limits, deductible, and premium.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Risk Profile:</w:t>
      </w:r>
      <w:r w:rsidDel="00000000" w:rsidR="00000000" w:rsidRPr="00000000">
        <w:rPr>
          <w:sz w:val="22"/>
          <w:szCs w:val="22"/>
          <w:rtl w:val="0"/>
        </w:rPr>
        <w:t xml:space="preserve"> Analysis of driving habits, vehicle usage, driver safety records, and vehicle maintenance practices.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Coverage Gap Analysis:</w:t>
      </w:r>
      <w:r w:rsidDel="00000000" w:rsidR="00000000" w:rsidRPr="00000000">
        <w:rPr>
          <w:sz w:val="22"/>
          <w:szCs w:val="22"/>
          <w:rtl w:val="0"/>
        </w:rPr>
        <w:t xml:space="preserve"> Check if all vehicles and drivers are included. Consider hired and non-owned auto coverage if necessary.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Premium and Coverage Comparison:</w:t>
      </w:r>
      <w:r w:rsidDel="00000000" w:rsidR="00000000" w:rsidRPr="00000000">
        <w:rPr>
          <w:sz w:val="22"/>
          <w:szCs w:val="22"/>
          <w:rtl w:val="0"/>
        </w:rPr>
        <w:t xml:space="preserve"> Compare the client's premium and coverages with industry standards.</w:t>
      </w:r>
    </w:p>
    <w:p w:rsidR="00000000" w:rsidDel="00000000" w:rsidP="00000000" w:rsidRDefault="00000000" w:rsidRPr="00000000" w14:paraId="00000035">
      <w:pPr>
        <w:spacing w:after="240" w:before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Cyber Liability Coverage Review Guide: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Client Information:</w:t>
      </w:r>
      <w:r w:rsidDel="00000000" w:rsidR="00000000" w:rsidRPr="00000000">
        <w:rPr>
          <w:sz w:val="22"/>
          <w:szCs w:val="22"/>
          <w:rtl w:val="0"/>
        </w:rPr>
        <w:t xml:space="preserve"> Company name, industry, size, type of data handled.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Current Coverage Details:</w:t>
      </w:r>
      <w:r w:rsidDel="00000000" w:rsidR="00000000" w:rsidRPr="00000000">
        <w:rPr>
          <w:sz w:val="22"/>
          <w:szCs w:val="22"/>
          <w:rtl w:val="0"/>
        </w:rPr>
        <w:t xml:space="preserve"> Current carrier, policy number, coverage limits, deductible, and premium.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Risk Profile:</w:t>
      </w:r>
      <w:r w:rsidDel="00000000" w:rsidR="00000000" w:rsidRPr="00000000">
        <w:rPr>
          <w:sz w:val="22"/>
          <w:szCs w:val="22"/>
          <w:rtl w:val="0"/>
        </w:rPr>
        <w:t xml:space="preserve"> Analysis of the client's cybersecurity measures, data breach history, and IT infrastructure.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Coverage Gap Analysis:</w:t>
      </w:r>
      <w:r w:rsidDel="00000000" w:rsidR="00000000" w:rsidRPr="00000000">
        <w:rPr>
          <w:sz w:val="22"/>
          <w:szCs w:val="22"/>
          <w:rtl w:val="0"/>
        </w:rPr>
        <w:t xml:space="preserve"> Review whether the policy covers both first-party and third-party risks, ransomware, social engineering, and business interruption.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24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Premium and Coverage Comparison:</w:t>
      </w:r>
      <w:r w:rsidDel="00000000" w:rsidR="00000000" w:rsidRPr="00000000">
        <w:rPr>
          <w:sz w:val="22"/>
          <w:szCs w:val="22"/>
          <w:rtl w:val="0"/>
        </w:rPr>
        <w:t xml:space="preserve"> Compare the client's premium with companies of similar size and industry.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Commercial Umbrella Coverage Review Guide: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Client Information:</w:t>
      </w:r>
      <w:r w:rsidDel="00000000" w:rsidR="00000000" w:rsidRPr="00000000">
        <w:rPr>
          <w:sz w:val="22"/>
          <w:szCs w:val="22"/>
          <w:rtl w:val="0"/>
        </w:rPr>
        <w:t xml:space="preserve"> Company name, industry, underlying policies details.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Current Coverage Details:</w:t>
      </w:r>
      <w:r w:rsidDel="00000000" w:rsidR="00000000" w:rsidRPr="00000000">
        <w:rPr>
          <w:sz w:val="22"/>
          <w:szCs w:val="22"/>
          <w:rtl w:val="0"/>
        </w:rPr>
        <w:t xml:space="preserve"> Current carrier, policy number, coverage limits, and premium.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Risk Profile:</w:t>
      </w:r>
      <w:r w:rsidDel="00000000" w:rsidR="00000000" w:rsidRPr="00000000">
        <w:rPr>
          <w:sz w:val="22"/>
          <w:szCs w:val="22"/>
          <w:rtl w:val="0"/>
        </w:rPr>
        <w:t xml:space="preserve"> Analysis of potential liabilities exceeding underlying policies' limits, especially if the business operates in a high-risk industry or has significant assets.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afterAutospacing="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Coverage Gap Analysis:</w:t>
      </w:r>
      <w:r w:rsidDel="00000000" w:rsidR="00000000" w:rsidRPr="00000000">
        <w:rPr>
          <w:sz w:val="22"/>
          <w:szCs w:val="22"/>
          <w:rtl w:val="0"/>
        </w:rPr>
        <w:t xml:space="preserve"> Check if the umbrella policy's limit is adequate and if all underlying policies are included.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240" w:before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Premium and Coverage Comparison:</w:t>
      </w:r>
      <w:r w:rsidDel="00000000" w:rsidR="00000000" w:rsidRPr="00000000">
        <w:rPr>
          <w:sz w:val="22"/>
          <w:szCs w:val="22"/>
          <w:rtl w:val="0"/>
        </w:rPr>
        <w:t xml:space="preserve"> Compare the client's premium with similar businesses in their industry.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10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10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>
        <w:color w:val="f2f2f2"/>
        <w:sz w:val="14"/>
        <w:szCs w:val="14"/>
      </w:rPr>
    </w:pPr>
    <w:r w:rsidDel="00000000" w:rsidR="00000000" w:rsidRPr="00000000">
      <w:rPr>
        <w:color w:val="f2f2f2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165100</wp:posOffset>
              </wp:positionV>
              <wp:extent cx="7800975" cy="760095"/>
              <wp:effectExtent b="0" l="0" r="0" t="0"/>
              <wp:wrapNone/>
              <wp:docPr id="8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455038" y="3409478"/>
                        <a:ext cx="7781925" cy="7410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10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165100</wp:posOffset>
              </wp:positionV>
              <wp:extent cx="7800975" cy="760095"/>
              <wp:effectExtent b="0" l="0" r="0" t="0"/>
              <wp:wrapNone/>
              <wp:docPr id="8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0975" cy="760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109220</wp:posOffset>
              </wp:positionV>
              <wp:extent cx="2715260" cy="443230"/>
              <wp:effectExtent b="0" l="0" r="0" t="0"/>
              <wp:wrapSquare wrapText="bothSides" distB="45720" distT="45720" distL="114300" distR="114300"/>
              <wp:docPr id="8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97895" y="3567910"/>
                        <a:ext cx="2696210" cy="424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10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4"/>
                              <w:vertAlign w:val="baseline"/>
                            </w:rPr>
                            <w:t xml:space="preserve">© Powered by Premier Strategy Box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6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4"/>
                              <w:vertAlign w:val="baseline"/>
                            </w:rPr>
                            <w:t xml:space="preserve">info@mystrategybox.com   |   www.mystrategybox.com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10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2060"/>
                              <w:sz w:val="1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109220</wp:posOffset>
              </wp:positionV>
              <wp:extent cx="2715260" cy="443230"/>
              <wp:effectExtent b="0" l="0" r="0" t="0"/>
              <wp:wrapSquare wrapText="bothSides" distB="45720" distT="45720" distL="114300" distR="114300"/>
              <wp:docPr id="8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5260" cy="443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7800975" cy="851535"/>
              <wp:effectExtent b="0" l="0" r="0" t="0"/>
              <wp:wrapNone/>
              <wp:docPr id="7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368520"/>
                        <a:ext cx="7772400" cy="8229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10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-457199</wp:posOffset>
              </wp:positionV>
              <wp:extent cx="7800975" cy="851535"/>
              <wp:effectExtent b="0" l="0" r="0" t="0"/>
              <wp:wrapNone/>
              <wp:docPr id="7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00975" cy="8515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2057400</wp:posOffset>
          </wp:positionH>
          <wp:positionV relativeFrom="paragraph">
            <wp:posOffset>-364487</wp:posOffset>
          </wp:positionV>
          <wp:extent cx="1828800" cy="629920"/>
          <wp:effectExtent b="0" l="0" r="0" t="0"/>
          <wp:wrapNone/>
          <wp:docPr id="8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4872" l="5382" r="7178" t="35000"/>
                  <a:stretch>
                    <a:fillRect/>
                  </a:stretch>
                </pic:blipFill>
                <pic:spPr>
                  <a:xfrm>
                    <a:off x="0" y="0"/>
                    <a:ext cx="1828800" cy="6299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10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10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spacing w:after="200" w:before="1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4472c4" w:space="0" w:sz="24" w:val="single"/>
        <w:left w:color="4472c4" w:space="0" w:sz="24" w:val="single"/>
        <w:bottom w:color="4472c4" w:space="0" w:sz="24" w:val="single"/>
        <w:right w:color="4472c4" w:space="0" w:sz="24" w:val="single"/>
      </w:pBdr>
      <w:shd w:fill="4472c4" w:val="clear"/>
      <w:spacing w:after="0" w:lineRule="auto"/>
    </w:pPr>
    <w:rPr>
      <w:smallCaps w:val="1"/>
      <w:color w:val="ffffff"/>
      <w:sz w:val="22"/>
      <w:szCs w:val="22"/>
    </w:rPr>
  </w:style>
  <w:style w:type="paragraph" w:styleId="Heading2">
    <w:name w:val="heading 2"/>
    <w:basedOn w:val="Normal"/>
    <w:next w:val="Normal"/>
    <w:pPr>
      <w:pBdr>
        <w:top w:color="d9e2f3" w:space="0" w:sz="24" w:val="single"/>
        <w:left w:color="d9e2f3" w:space="0" w:sz="24" w:val="single"/>
        <w:bottom w:color="d9e2f3" w:space="0" w:sz="24" w:val="single"/>
        <w:right w:color="d9e2f3" w:space="0" w:sz="24" w:val="single"/>
      </w:pBdr>
      <w:shd w:fill="d9e2f3" w:val="clear"/>
      <w:spacing w:after="0" w:lineRule="auto"/>
    </w:pPr>
    <w:rPr>
      <w:smallCaps w:val="1"/>
    </w:rPr>
  </w:style>
  <w:style w:type="paragraph" w:styleId="Heading3">
    <w:name w:val="heading 3"/>
    <w:basedOn w:val="Normal"/>
    <w:next w:val="Normal"/>
    <w:pPr>
      <w:pBdr>
        <w:top w:color="4472c4" w:space="2" w:sz="6" w:val="single"/>
      </w:pBdr>
      <w:spacing w:after="0" w:before="300" w:lineRule="auto"/>
    </w:pPr>
    <w:rPr>
      <w:smallCaps w:val="1"/>
      <w:color w:val="1f3863"/>
    </w:rPr>
  </w:style>
  <w:style w:type="paragraph" w:styleId="Heading4">
    <w:name w:val="heading 4"/>
    <w:basedOn w:val="Normal"/>
    <w:next w:val="Normal"/>
    <w:pPr>
      <w:pBdr>
        <w:top w:color="4472c4" w:space="2" w:sz="6" w:val="dotted"/>
      </w:pBdr>
      <w:spacing w:after="0" w:before="200" w:lineRule="auto"/>
    </w:pPr>
    <w:rPr>
      <w:smallCaps w:val="1"/>
      <w:color w:val="2f5496"/>
    </w:rPr>
  </w:style>
  <w:style w:type="paragraph" w:styleId="Heading5">
    <w:name w:val="heading 5"/>
    <w:basedOn w:val="Normal"/>
    <w:next w:val="Normal"/>
    <w:pPr>
      <w:pBdr>
        <w:bottom w:color="4472c4" w:space="1" w:sz="6" w:val="single"/>
      </w:pBdr>
      <w:spacing w:after="0" w:before="200" w:lineRule="auto"/>
    </w:pPr>
    <w:rPr>
      <w:smallCaps w:val="1"/>
      <w:color w:val="2f5496"/>
    </w:rPr>
  </w:style>
  <w:style w:type="paragraph" w:styleId="Heading6">
    <w:name w:val="heading 6"/>
    <w:basedOn w:val="Normal"/>
    <w:next w:val="Normal"/>
    <w:pPr>
      <w:pBdr>
        <w:bottom w:color="4472c4" w:space="1" w:sz="6" w:val="dotted"/>
      </w:pBdr>
      <w:spacing w:after="0" w:before="200" w:lineRule="auto"/>
    </w:pPr>
    <w:rPr>
      <w:smallCaps w:val="1"/>
      <w:color w:val="2f5496"/>
    </w:rPr>
  </w:style>
  <w:style w:type="paragraph" w:styleId="Title">
    <w:name w:val="Title"/>
    <w:basedOn w:val="Normal"/>
    <w:next w:val="Normal"/>
    <w:pPr>
      <w:spacing w:after="0" w:before="0" w:lineRule="auto"/>
    </w:pPr>
    <w:rPr>
      <w:rFonts w:ascii="Calibri" w:cs="Calibri" w:eastAsia="Calibri" w:hAnsi="Calibri"/>
      <w:smallCaps w:val="1"/>
      <w:color w:val="4472c4"/>
      <w:sz w:val="52"/>
      <w:szCs w:val="52"/>
    </w:rPr>
  </w:style>
  <w:style w:type="paragraph" w:styleId="Normal" w:default="1">
    <w:name w:val="Normal"/>
    <w:qFormat w:val="1"/>
    <w:rsid w:val="00F20D35"/>
  </w:style>
  <w:style w:type="paragraph" w:styleId="Heading1">
    <w:name w:val="heading 1"/>
    <w:basedOn w:val="Normal"/>
    <w:next w:val="Normal"/>
    <w:link w:val="Heading1Char"/>
    <w:uiPriority w:val="9"/>
    <w:qFormat w:val="1"/>
    <w:rsid w:val="00F20D35"/>
    <w:pPr>
      <w:pBdr>
        <w:top w:color="4472c4" w:space="0" w:sz="24" w:themeColor="accent1" w:val="single"/>
        <w:left w:color="4472c4" w:space="0" w:sz="24" w:themeColor="accent1" w:val="single"/>
        <w:bottom w:color="4472c4" w:space="0" w:sz="24" w:themeColor="accent1" w:val="single"/>
        <w:right w:color="4472c4" w:space="0" w:sz="24" w:themeColor="accent1" w:val="single"/>
      </w:pBdr>
      <w:shd w:color="auto" w:fill="4472c4" w:themeFill="accent1" w:val="clear"/>
      <w:spacing w:after="0"/>
      <w:outlineLvl w:val="0"/>
    </w:pPr>
    <w:rPr>
      <w:caps w:val="1"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F20D35"/>
    <w:pPr>
      <w:pBdr>
        <w:top w:color="d9e2f3" w:space="0" w:sz="24" w:themeColor="accent1" w:themeTint="000033" w:val="single"/>
        <w:left w:color="d9e2f3" w:space="0" w:sz="24" w:themeColor="accent1" w:themeTint="000033" w:val="single"/>
        <w:bottom w:color="d9e2f3" w:space="0" w:sz="24" w:themeColor="accent1" w:themeTint="000033" w:val="single"/>
        <w:right w:color="d9e2f3" w:space="0" w:sz="24" w:themeColor="accent1" w:themeTint="000033" w:val="single"/>
      </w:pBdr>
      <w:shd w:color="auto" w:fill="d9e2f3" w:themeFill="accent1" w:themeFillTint="000033" w:val="clear"/>
      <w:spacing w:after="0"/>
      <w:outlineLvl w:val="1"/>
    </w:pPr>
    <w:rPr>
      <w:caps w:val="1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F20D35"/>
    <w:pPr>
      <w:pBdr>
        <w:top w:color="4472c4" w:space="2" w:sz="6" w:themeColor="accent1" w:val="single"/>
      </w:pBdr>
      <w:spacing w:after="0" w:before="300"/>
      <w:outlineLvl w:val="2"/>
    </w:pPr>
    <w:rPr>
      <w:caps w:val="1"/>
      <w:color w:val="1f3763" w:themeColor="accent1" w:themeShade="0000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20D35"/>
    <w:pPr>
      <w:pBdr>
        <w:top w:color="4472c4" w:space="2" w:sz="6" w:themeColor="accent1" w:val="dotted"/>
      </w:pBdr>
      <w:spacing w:after="0" w:before="200"/>
      <w:outlineLvl w:val="3"/>
    </w:pPr>
    <w:rPr>
      <w:caps w:val="1"/>
      <w:color w:val="2f5496" w:themeColor="accent1" w:themeShade="0000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20D35"/>
    <w:pPr>
      <w:pBdr>
        <w:bottom w:color="4472c4" w:space="1" w:sz="6" w:themeColor="accent1" w:val="single"/>
      </w:pBdr>
      <w:spacing w:after="0" w:before="200"/>
      <w:outlineLvl w:val="4"/>
    </w:pPr>
    <w:rPr>
      <w:caps w:val="1"/>
      <w:color w:val="2f5496" w:themeColor="accent1" w:themeShade="0000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20D35"/>
    <w:pPr>
      <w:pBdr>
        <w:bottom w:color="4472c4" w:space="1" w:sz="6" w:themeColor="accent1" w:val="dotted"/>
      </w:pBdr>
      <w:spacing w:after="0" w:before="200"/>
      <w:outlineLvl w:val="5"/>
    </w:pPr>
    <w:rPr>
      <w:caps w:val="1"/>
      <w:color w:val="2f5496" w:themeColor="accent1" w:themeShade="0000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20D35"/>
    <w:pPr>
      <w:spacing w:after="0" w:before="200"/>
      <w:outlineLvl w:val="6"/>
    </w:pPr>
    <w:rPr>
      <w:caps w:val="1"/>
      <w:color w:val="2f5496" w:themeColor="accent1" w:themeShade="0000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20D35"/>
    <w:pPr>
      <w:spacing w:after="0" w:before="200"/>
      <w:outlineLvl w:val="7"/>
    </w:pPr>
    <w:rPr>
      <w:caps w:val="1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20D35"/>
    <w:pPr>
      <w:spacing w:after="0" w:before="200"/>
      <w:outlineLvl w:val="8"/>
    </w:pPr>
    <w:rPr>
      <w:i w:val="1"/>
      <w:iCs w:val="1"/>
      <w:caps w:val="1"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F20D35"/>
    <w:pPr>
      <w:spacing w:after="0" w:before="0"/>
    </w:pPr>
    <w:rPr>
      <w:rFonts w:asciiTheme="majorHAnsi" w:cstheme="majorBidi" w:eastAsiaTheme="majorEastAsia" w:hAnsiTheme="majorHAnsi"/>
      <w:caps w:val="1"/>
      <w:color w:val="4472c4" w:themeColor="accent1"/>
      <w:spacing w:val="10"/>
      <w:sz w:val="52"/>
      <w:szCs w:val="52"/>
    </w:rPr>
  </w:style>
  <w:style w:type="paragraph" w:styleId="ListParagraph">
    <w:name w:val="List Paragraph"/>
    <w:basedOn w:val="Normal"/>
    <w:uiPriority w:val="34"/>
    <w:qFormat w:val="1"/>
    <w:rsid w:val="007223C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9E30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3006"/>
  </w:style>
  <w:style w:type="paragraph" w:styleId="Footer">
    <w:name w:val="footer"/>
    <w:basedOn w:val="Normal"/>
    <w:link w:val="FooterChar"/>
    <w:uiPriority w:val="99"/>
    <w:unhideWhenUsed w:val="1"/>
    <w:rsid w:val="009E30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3006"/>
  </w:style>
  <w:style w:type="paragraph" w:styleId="Subtitle">
    <w:name w:val="Subtitle"/>
    <w:basedOn w:val="Normal"/>
    <w:next w:val="Normal"/>
    <w:link w:val="SubtitleChar"/>
    <w:uiPriority w:val="11"/>
    <w:qFormat w:val="1"/>
    <w:rsid w:val="00F20D35"/>
    <w:pPr>
      <w:spacing w:after="500" w:before="0" w:line="240" w:lineRule="auto"/>
    </w:pPr>
    <w:rPr>
      <w:caps w:val="1"/>
      <w:color w:val="595959" w:themeColor="text1" w:themeTint="0000A6"/>
      <w:spacing w:val="10"/>
      <w:sz w:val="21"/>
      <w:szCs w:val="21"/>
    </w:rPr>
  </w:style>
  <w:style w:type="character" w:styleId="Heading1Char" w:customStyle="1">
    <w:name w:val="Heading 1 Char"/>
    <w:basedOn w:val="DefaultParagraphFont"/>
    <w:link w:val="Heading1"/>
    <w:uiPriority w:val="9"/>
    <w:rsid w:val="00F20D35"/>
    <w:rPr>
      <w:caps w:val="1"/>
      <w:color w:val="ffffff" w:themeColor="background1"/>
      <w:spacing w:val="15"/>
      <w:sz w:val="22"/>
      <w:szCs w:val="22"/>
      <w:shd w:color="auto" w:fill="4472c4" w:themeFill="accent1" w:val="clear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20D35"/>
    <w:rPr>
      <w:caps w:val="1"/>
      <w:spacing w:val="15"/>
      <w:shd w:color="auto" w:fill="d9e2f3" w:themeFill="accent1" w:themeFillTint="000033" w:val="clear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20D35"/>
    <w:rPr>
      <w:caps w:val="1"/>
      <w:color w:val="1f3763" w:themeColor="accent1" w:themeShade="0000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20D35"/>
    <w:rPr>
      <w:caps w:val="1"/>
      <w:color w:val="2f5496" w:themeColor="accent1" w:themeShade="0000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20D35"/>
    <w:rPr>
      <w:caps w:val="1"/>
      <w:color w:val="2f5496" w:themeColor="accent1" w:themeShade="0000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20D35"/>
    <w:rPr>
      <w:caps w:val="1"/>
      <w:color w:val="2f5496" w:themeColor="accent1" w:themeShade="0000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20D35"/>
    <w:rPr>
      <w:caps w:val="1"/>
      <w:color w:val="2f5496" w:themeColor="accent1" w:themeShade="0000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20D35"/>
    <w:rPr>
      <w:caps w:val="1"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20D35"/>
    <w:rPr>
      <w:i w:val="1"/>
      <w:iCs w:val="1"/>
      <w:caps w:val="1"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20D35"/>
    <w:rPr>
      <w:b w:val="1"/>
      <w:bCs w:val="1"/>
      <w:color w:val="2f5496" w:themeColor="accent1" w:themeShade="0000BF"/>
      <w:sz w:val="16"/>
      <w:szCs w:val="16"/>
    </w:rPr>
  </w:style>
  <w:style w:type="character" w:styleId="TitleChar" w:customStyle="1">
    <w:name w:val="Title Char"/>
    <w:basedOn w:val="DefaultParagraphFont"/>
    <w:link w:val="Title"/>
    <w:uiPriority w:val="10"/>
    <w:rsid w:val="00F20D35"/>
    <w:rPr>
      <w:rFonts w:asciiTheme="majorHAnsi" w:cstheme="majorBidi" w:eastAsiaTheme="majorEastAsia" w:hAnsiTheme="majorHAnsi"/>
      <w:caps w:val="1"/>
      <w:color w:val="4472c4" w:themeColor="accent1"/>
      <w:spacing w:val="10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20D35"/>
    <w:rPr>
      <w:caps w:val="1"/>
      <w:color w:val="595959" w:themeColor="text1" w:themeTint="0000A6"/>
      <w:spacing w:val="10"/>
      <w:sz w:val="21"/>
      <w:szCs w:val="21"/>
    </w:rPr>
  </w:style>
  <w:style w:type="character" w:styleId="Strong">
    <w:name w:val="Strong"/>
    <w:uiPriority w:val="22"/>
    <w:qFormat w:val="1"/>
    <w:rsid w:val="00F20D35"/>
    <w:rPr>
      <w:b w:val="1"/>
      <w:bCs w:val="1"/>
    </w:rPr>
  </w:style>
  <w:style w:type="character" w:styleId="Emphasis">
    <w:name w:val="Emphasis"/>
    <w:uiPriority w:val="20"/>
    <w:qFormat w:val="1"/>
    <w:rsid w:val="00F20D35"/>
    <w:rPr>
      <w:caps w:val="1"/>
      <w:color w:val="1f3763" w:themeColor="accent1" w:themeShade="00007F"/>
      <w:spacing w:val="5"/>
    </w:rPr>
  </w:style>
  <w:style w:type="paragraph" w:styleId="NoSpacing">
    <w:name w:val="No Spacing"/>
    <w:uiPriority w:val="1"/>
    <w:qFormat w:val="1"/>
    <w:rsid w:val="00F20D3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 w:val="1"/>
    <w:rsid w:val="00F20D35"/>
    <w:rPr>
      <w:i w:val="1"/>
      <w:iCs w:val="1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F20D35"/>
    <w:rPr>
      <w:i w:val="1"/>
      <w:iCs w:val="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20D35"/>
    <w:pPr>
      <w:spacing w:after="240" w:before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0D35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 w:val="1"/>
    <w:rsid w:val="00F20D35"/>
    <w:rPr>
      <w:i w:val="1"/>
      <w:iCs w:val="1"/>
      <w:color w:val="1f3763" w:themeColor="accent1" w:themeShade="00007F"/>
    </w:rPr>
  </w:style>
  <w:style w:type="character" w:styleId="IntenseEmphasis">
    <w:name w:val="Intense Emphasis"/>
    <w:uiPriority w:val="21"/>
    <w:qFormat w:val="1"/>
    <w:rsid w:val="00F20D35"/>
    <w:rPr>
      <w:b w:val="1"/>
      <w:bCs w:val="1"/>
      <w:caps w:val="1"/>
      <w:color w:val="1f3763" w:themeColor="accent1" w:themeShade="00007F"/>
      <w:spacing w:val="10"/>
    </w:rPr>
  </w:style>
  <w:style w:type="character" w:styleId="SubtleReference">
    <w:name w:val="Subtle Reference"/>
    <w:uiPriority w:val="31"/>
    <w:qFormat w:val="1"/>
    <w:rsid w:val="00F20D35"/>
    <w:rPr>
      <w:b w:val="1"/>
      <w:bCs w:val="1"/>
      <w:color w:val="4472c4" w:themeColor="accent1"/>
    </w:rPr>
  </w:style>
  <w:style w:type="character" w:styleId="IntenseReference">
    <w:name w:val="Intense Reference"/>
    <w:uiPriority w:val="32"/>
    <w:qFormat w:val="1"/>
    <w:rsid w:val="00F20D35"/>
    <w:rPr>
      <w:b w:val="1"/>
      <w:bCs w:val="1"/>
      <w:i w:val="1"/>
      <w:iCs w:val="1"/>
      <w:caps w:val="1"/>
      <w:color w:val="4472c4" w:themeColor="accent1"/>
    </w:rPr>
  </w:style>
  <w:style w:type="character" w:styleId="BookTitle">
    <w:name w:val="Book Title"/>
    <w:uiPriority w:val="33"/>
    <w:qFormat w:val="1"/>
    <w:rsid w:val="00F20D35"/>
    <w:rPr>
      <w:b w:val="1"/>
      <w:bCs w:val="1"/>
      <w:i w:val="1"/>
      <w:iCs w:val="1"/>
      <w:spacing w:val="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20D35"/>
    <w:pPr>
      <w:outlineLvl w:val="9"/>
    </w:pPr>
  </w:style>
  <w:style w:type="paragraph" w:styleId="Subtitle">
    <w:name w:val="Subtitle"/>
    <w:basedOn w:val="Normal"/>
    <w:next w:val="Normal"/>
    <w:pPr>
      <w:spacing w:after="500" w:before="0" w:line="240" w:lineRule="auto"/>
    </w:pPr>
    <w:rPr>
      <w:smallCaps w:val="1"/>
      <w:color w:val="595959"/>
      <w:sz w:val="21"/>
      <w:szCs w:val="2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XRk18SOxD7ttJL3VHw79zn6yZA==">CgMxLjA4AHIhMW9tckROOG41VVBUbEFpOFBSVDhjVndfOU9keF9FS0JN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2023-05-04T17:35:00Z</dcterms:created>
  <dc:creator>Taylor Warren</dc:creator>
</cp:coreProperties>
</file>